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38C58">
      <w:pPr>
        <w:pStyle w:val="2"/>
        <w:ind w:firstLine="0" w:firstLineChars="0"/>
        <w:rPr>
          <w:rFonts w:hint="default" w:ascii="方正小标宋_GBK" w:hAnsi="方正小标宋_GBK" w:eastAsia="方正小标宋_GBK" w:cs="方正小标宋_GBK"/>
          <w:b w:val="0"/>
          <w:bCs/>
        </w:rPr>
      </w:pPr>
      <w:bookmarkStart w:id="0" w:name="_Toc9933"/>
      <w:r>
        <w:rPr>
          <w:rFonts w:hint="default" w:ascii="方正小标宋_GBK" w:hAnsi="方正小标宋_GBK" w:eastAsia="方正小标宋_GBK" w:cs="方正小标宋_GBK"/>
          <w:b w:val="0"/>
          <w:bCs/>
          <w:color w:val="000000"/>
        </w:rPr>
        <w:t>第五部分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lang w:val="en-US" w:eastAsia="zh-CN"/>
        </w:rPr>
        <w:t xml:space="preserve"> </w:t>
      </w:r>
      <w:r>
        <w:rPr>
          <w:rFonts w:hint="default" w:ascii="方正小标宋_GBK" w:hAnsi="方正小标宋_GBK" w:eastAsia="方正小标宋_GBK" w:cs="方正小标宋_GBK"/>
          <w:b w:val="0"/>
          <w:bCs/>
          <w:color w:val="000000"/>
        </w:rPr>
        <w:t>借款人财务情况</w:t>
      </w:r>
      <w:bookmarkEnd w:id="0"/>
    </w:p>
    <w:p w14:paraId="080FE893">
      <w:pPr>
        <w:pStyle w:val="4"/>
        <w:ind w:firstLine="640"/>
        <w:rPr>
          <w:rFonts w:hint="default" w:ascii="Times New Roman" w:hAnsi="Times New Roman" w:cs="Times New Roman"/>
        </w:rPr>
      </w:pPr>
      <w:bookmarkStart w:id="1" w:name="_Toc202796924"/>
      <w:bookmarkStart w:id="2" w:name="_Toc27627"/>
      <w:bookmarkStart w:id="3" w:name="_Toc169702763"/>
      <w:bookmarkStart w:id="4" w:name="_Toc8507"/>
      <w:bookmarkStart w:id="5" w:name="_Toc18127"/>
      <w:bookmarkStart w:id="6" w:name="_Toc14178"/>
      <w:bookmarkStart w:id="7" w:name="_Toc18804"/>
      <w:bookmarkStart w:id="8" w:name="_Toc11687"/>
      <w:r>
        <w:rPr>
          <w:rFonts w:hint="default" w:ascii="Times New Roman" w:hAnsi="Times New Roman" w:cs="Times New Roman"/>
          <w:color w:val="000000"/>
        </w:rPr>
        <w:t>一、资产负债表分析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5CAF588">
      <w:pPr>
        <w:widowControl/>
        <w:autoSpaceDE w:val="0"/>
        <w:ind w:firstLine="640"/>
        <w:jc w:val="left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</w:rPr>
      </w:r>
    </w:p>
    <w:p w14:paraId="5773553F">
      <w:pPr>
        <w:pStyle w:val="5"/>
        <w:ind w:firstLine="640"/>
        <w:rPr>
          <w:rFonts w:hint="default" w:ascii="Times New Roman" w:hAnsi="Times New Roman" w:cs="Times New Roman"/>
        </w:rPr>
      </w:pPr>
      <w:bookmarkStart w:id="9" w:name="_Toc202796925"/>
      <w:bookmarkStart w:id="10" w:name="_Toc169702764"/>
      <w:r>
        <w:rPr>
          <w:rFonts w:hint="default" w:ascii="Times New Roman" w:hAnsi="Times New Roman" w:cs="Times New Roman"/>
          <w:color w:val="000000"/>
        </w:rPr>
        <w:t>（一）资产结构分析</w:t>
      </w:r>
      <w:bookmarkEnd w:id="9"/>
      <w:bookmarkEnd w:id="10"/>
    </w:p>
    <w:p w14:paraId="78F4EBF4">
      <w:pPr>
        <w:ind w:firstLine="640"/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</w:r>
      <w:r>
        <w:rPr>
          <w:rFonts w:hint="eastAsia" w:ascii="Times New Roman" w:hAnsi="Times New Roman" w:eastAsia="仿宋_GB2312" w:cs="Times New Roman"/>
          <w:b w:val="0"/>
          <w:bCs w:val="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近三年及一期，借款人总资产规模持续增长，2022年末、2023年末及2024年11月末总资产分别为409.74万元、480.16万元和566.99万元。2024年11月末较2023年末增加86.83万元，增幅18.08%；较2022年末增加157.26万元，增幅38.38%。资产结构以流动资产为主，流动资产分别为325.86万元、381.02万元和448.76万元，2024年11月末较2023年末增加67.74万元，增幅17.78%；非流动资产合计分别为83.87万元、99.15万元和118.23万元，较2023年末增加19.09万元，增幅19.25%。资产规模扩张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。</w:t>
      </w:r>
    </w:p>
    <w:p w14:paraId="03892ED6">
      <w:pPr>
        <w:pStyle w:val="5"/>
        <w:ind w:firstLine="640"/>
        <w:rPr>
          <w:rFonts w:hint="default" w:ascii="Times New Roman" w:hAnsi="Times New Roman" w:cs="Times New Roman"/>
        </w:rPr>
      </w:pPr>
      <w:bookmarkStart w:id="11" w:name="_Toc169702765"/>
      <w:bookmarkStart w:id="12" w:name="_Toc202796926"/>
      <w:r>
        <w:rPr>
          <w:rFonts w:hint="default" w:ascii="Times New Roman" w:hAnsi="Times New Roman" w:cs="Times New Roman"/>
          <w:color w:val="000000"/>
        </w:rPr>
        <w:t>（二）负债结构分析</w:t>
      </w:r>
      <w:bookmarkEnd w:id="11"/>
      <w:bookmarkEnd w:id="12"/>
    </w:p>
    <w:p w14:paraId="07CCD3E2">
      <w:pPr>
        <w:ind w:firstLine="64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rFonts w:hint="default" w:ascii="Times New Roman" w:hAnsi="Times New Roman" w:cs="Times New Roman"/>
          <w:szCs w:val="32"/>
          <w:lang w:eastAsia="zh-CN"/>
        </w:rPr>
      </w:r>
      <w:r>
        <w:rPr>
          <w:rFonts w:hint="default" w:ascii="Times New Roman" w:hAnsi="Times New Roman" w:cs="Times New Roman"/>
          <w:szCs w:val="32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近三年及一期，借款人总负债规模呈上升态势，2022年末、2023年末及2024年11月末分别为211.29万元、228.29万元和259.64万元。2024年11月末较2023年末增加31.36万元，增幅13.74%；较2022年末增加48.36万元，增幅22.89%。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。</w:t>
      </w:r>
    </w:p>
    <w:p w14:paraId="1612A40F">
      <w:pPr>
        <w:pStyle w:val="5"/>
        <w:ind w:firstLine="640"/>
        <w:rPr>
          <w:rFonts w:hint="default" w:ascii="Times New Roman" w:hAnsi="Times New Roman" w:cs="Times New Roman"/>
          <w:color w:val="auto"/>
        </w:rPr>
      </w:pPr>
      <w:bookmarkStart w:id="13" w:name="_Toc169702766"/>
      <w:bookmarkStart w:id="14" w:name="_Toc202796927"/>
      <w:r>
        <w:rPr>
          <w:rFonts w:hint="default" w:ascii="Times New Roman" w:hAnsi="Times New Roman" w:cs="Times New Roman"/>
          <w:color w:val="000000"/>
        </w:rPr>
        <w:t>（三）重要会计科目分析</w:t>
      </w:r>
      <w:bookmarkEnd w:id="13"/>
      <w:bookmarkEnd w:id="14"/>
    </w:p>
    <w:p w14:paraId="4F9CFB2B">
      <w:pPr>
        <w:ind w:firstLine="640"/>
        <w:rPr>
          <w:rFonts w:hint="eastAsia" w:ascii="Times New Roman" w:hAnsi="Times New Roman" w:cs="Times New Roman"/>
          <w:szCs w:val="32"/>
          <w:lang w:val="en-US" w:eastAsia="zh-CN"/>
        </w:rPr>
      </w:pPr>
      <w:r>
        <w:rPr>
          <w:rFonts w:hint="eastAsia" w:ascii="Times New Roman" w:hAnsi="Times New Roman" w:cs="Times New Roman"/>
          <w:szCs w:val="32"/>
          <w:lang w:val="en-US" w:eastAsia="zh-CN"/>
        </w:rPr>
      </w:r>
      <w:bookmarkStart w:id="15" w:name="_Hlk212025093"/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bookmarkEnd w:id="15"/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rFonts w:hint="default" w:ascii="Times New Roman" w:hAnsi="Times New Roman" w:cs="Times New Roman"/>
          <w:szCs w:val="32"/>
          <w:lang w:val="en-US" w:eastAsia="zh-CN"/>
        </w:rPr>
      </w:r>
      <w:r>
        <w:rPr>
          <w:rFonts w:hint="eastAsia" w:ascii="Times New Roman" w:hAnsi="Times New Roman" w:cs="Times New Roman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近三年及一期，货币资金余额稳步增长，2022年末、2023年末及2024年11月末分别为61.46万元、79.62万元和98.39万元。2024年11月末较2023年末增加18.76万元，增幅23.56%；较2022年末增加36.92万元，增幅60.07%。货币资金持续增加，企业即期支付能力有所增强，可能与经营回款增加等因素有关，具体原因</w:t>
      </w:r>
      <w:r>
        <w:rPr>
          <w:color w:val="000000"/>
          <w:highlight w:val="yellow"/>
        </w:rPr>
        <w:t>需要进一步核实</w:t>
      </w:r>
      <w:r>
        <w:rPr>
          <w:color w:val="000000"/>
        </w:rPr>
        <w:t>。</w:t>
      </w:r>
    </w:p>
    <w:p w14:paraId="08A88DE7">
      <w:pPr>
        <w:ind w:firstLine="640"/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  <w:t>.应收账款</w:t>
      </w:r>
    </w:p>
    <w:p w14:paraId="7FAB5D55">
      <w:pPr>
        <w:widowControl/>
        <w:autoSpaceDE w:val="0"/>
        <w:ind w:firstLine="640"/>
        <w:rPr>
          <w:rFonts w:hint="default" w:ascii="Times New Roman" w:hAnsi="Times New Roman" w:cs="Times New Roman"/>
          <w:color w:val="FF0000"/>
          <w:kern w:val="0"/>
          <w:szCs w:val="32"/>
        </w:rPr>
      </w:pP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eastAsia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eastAsia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末、2023年末及2024年11月末，借款人应收账款余额分别为183.29万元、223.21万元和221.59万元。2024年11月末较2023年末减少1.61万元，降幅0.72%，较2022年末增加38.31万元，增幅20.90%，整体规模有所波动。期末应收账款金额前五名汇总金额271.61万元，占应收账款余额的122.57%，前5名情况如下：</w:t>
      </w:r>
    </w:p>
    <w:tbl>
      <w:tblPr>
        <w:tblStyle w:val="7"/>
        <w:tblW w:w="4220" w:type="pct"/>
        <w:jc w:val="center"/>
        <w:tblBorders>
          <w:top w:val="single" w:color="010000" w:sz="12" w:space="0"/>
          <w:left w:val="single" w:color="010000" w:sz="12" w:space="0"/>
          <w:bottom w:val="single" w:color="010000" w:sz="12" w:space="0"/>
          <w:right w:val="single" w:color="010000" w:sz="12" w:space="0"/>
          <w:insideH w:val="single" w:color="010000" w:sz="4" w:space="0"/>
          <w:insideV w:val="single" w:color="010000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2721"/>
        <w:gridCol w:w="2044"/>
        <w:gridCol w:w="1478"/>
        <w:gridCol w:w="1318"/>
      </w:tblGrid>
      <w:tr w14:paraId="2E6966A6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tblHeader/>
          <w:jc w:val="center"/>
        </w:trPr>
        <w:tc>
          <w:tcPr>
            <w:tcW w:w="1799" w:type="pct"/>
            <w:tcBorders>
              <w:top w:val="single" w:color="010000" w:sz="12" w:space="0"/>
              <w:bottom w:val="single" w:color="010000" w:sz="4" w:space="0"/>
            </w:tcBorders>
            <w:vAlign w:val="center"/>
          </w:tcPr>
          <w:p w14:paraId="6C84113E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1351" w:type="pct"/>
            <w:tcBorders>
              <w:top w:val="single" w:color="010000" w:sz="12" w:space="0"/>
              <w:bottom w:val="single" w:color="010000" w:sz="4" w:space="0"/>
            </w:tcBorders>
            <w:vAlign w:val="center"/>
          </w:tcPr>
          <w:p w14:paraId="1A01C1AC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金额</w:t>
            </w:r>
          </w:p>
        </w:tc>
        <w:tc>
          <w:tcPr>
            <w:tcW w:w="977" w:type="pct"/>
            <w:tcBorders>
              <w:top w:val="single" w:color="010000" w:sz="12" w:space="0"/>
              <w:bottom w:val="single" w:color="010000" w:sz="4" w:space="0"/>
            </w:tcBorders>
            <w:vAlign w:val="center"/>
          </w:tcPr>
          <w:p w14:paraId="25736C9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占比</w:t>
            </w:r>
          </w:p>
        </w:tc>
        <w:tc>
          <w:tcPr>
            <w:tcW w:w="871" w:type="pct"/>
            <w:tcBorders>
              <w:top w:val="single" w:color="010000" w:sz="12" w:space="0"/>
              <w:bottom w:val="single" w:color="010000" w:sz="4" w:space="0"/>
            </w:tcBorders>
            <w:vAlign w:val="center"/>
          </w:tcPr>
          <w:p w14:paraId="0C1726D0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款项性质</w:t>
            </w:r>
          </w:p>
        </w:tc>
      </w:tr>
      <w:tr w14:paraId="1F85FCBE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799" w:type="pct"/>
            <w:vAlign w:val="center"/>
          </w:tcPr>
          <w:p w14:paraId="652EA090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XX贸易有限公司</w:t>
            </w:r>
          </w:p>
        </w:tc>
        <w:tc>
          <w:tcPr>
            <w:tcW w:w="1351" w:type="pct"/>
            <w:vAlign w:val="center"/>
          </w:tcPr>
          <w:p w14:paraId="25584AA4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79.82</w:t>
            </w:r>
          </w:p>
        </w:tc>
        <w:tc>
          <w:tcPr>
            <w:tcW w:w="977" w:type="pct"/>
            <w:vAlign w:val="center"/>
          </w:tcPr>
          <w:p w14:paraId="4A0EF09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36.02%</w:t>
            </w:r>
          </w:p>
        </w:tc>
        <w:tc>
          <w:tcPr>
            <w:tcW w:w="871" w:type="pct"/>
            <w:vAlign w:val="center"/>
          </w:tcPr>
          <w:p w14:paraId="26E224AB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1年以内</w:t>
            </w:r>
          </w:p>
        </w:tc>
      </w:tr>
      <w:tr w14:paraId="6B0B6B19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799" w:type="pct"/>
            <w:vAlign w:val="center"/>
          </w:tcPr>
          <w:p w14:paraId="66EEDD4C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XX供应链有限公司</w:t>
            </w:r>
          </w:p>
        </w:tc>
        <w:tc>
          <w:tcPr>
            <w:tcW w:w="1351" w:type="pct"/>
            <w:vAlign w:val="center"/>
          </w:tcPr>
          <w:p w14:paraId="019B245C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75.42</w:t>
            </w:r>
          </w:p>
        </w:tc>
        <w:tc>
          <w:tcPr>
            <w:tcW w:w="977" w:type="pct"/>
            <w:vAlign w:val="center"/>
          </w:tcPr>
          <w:p w14:paraId="2485A59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34.04%</w:t>
            </w:r>
          </w:p>
        </w:tc>
        <w:tc>
          <w:tcPr>
            <w:tcW w:w="871" w:type="pct"/>
            <w:vAlign w:val="center"/>
          </w:tcPr>
          <w:p w14:paraId="32DC448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3-6个月</w:t>
            </w:r>
          </w:p>
        </w:tc>
      </w:tr>
      <w:tr w14:paraId="1B128F34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799" w:type="pct"/>
            <w:vAlign w:val="center"/>
          </w:tcPr>
          <w:p w14:paraId="77A165FA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XX物流有限公司</w:t>
            </w:r>
          </w:p>
        </w:tc>
        <w:tc>
          <w:tcPr>
            <w:tcW w:w="1351" w:type="pct"/>
            <w:vAlign w:val="center"/>
          </w:tcPr>
          <w:p w14:paraId="1E7A58B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61.01</w:t>
            </w:r>
          </w:p>
        </w:tc>
        <w:tc>
          <w:tcPr>
            <w:tcW w:w="977" w:type="pct"/>
            <w:vAlign w:val="center"/>
          </w:tcPr>
          <w:p w14:paraId="1A1CCDDD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27.53%</w:t>
            </w:r>
          </w:p>
        </w:tc>
        <w:tc>
          <w:tcPr>
            <w:tcW w:w="871" w:type="pct"/>
            <w:vAlign w:val="center"/>
          </w:tcPr>
          <w:p w14:paraId="67FB5F9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3个月以内</w:t>
            </w:r>
          </w:p>
        </w:tc>
      </w:tr>
      <w:tr w14:paraId="17700EA5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799" w:type="pct"/>
            <w:vAlign w:val="center"/>
          </w:tcPr>
          <w:p w14:paraId="35C6AEF7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XX制造有限公司</w:t>
            </w:r>
          </w:p>
        </w:tc>
        <w:tc>
          <w:tcPr>
            <w:tcW w:w="1351" w:type="pct"/>
            <w:vAlign w:val="center"/>
          </w:tcPr>
          <w:p w14:paraId="0008A54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30.06</w:t>
            </w:r>
          </w:p>
        </w:tc>
        <w:tc>
          <w:tcPr>
            <w:tcW w:w="977" w:type="pct"/>
            <w:vAlign w:val="center"/>
          </w:tcPr>
          <w:p w14:paraId="13CE7697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13.57%</w:t>
            </w:r>
          </w:p>
        </w:tc>
        <w:tc>
          <w:tcPr>
            <w:tcW w:w="871" w:type="pct"/>
            <w:vAlign w:val="center"/>
          </w:tcPr>
          <w:p w14:paraId="040D2CCA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3-6个月</w:t>
            </w:r>
          </w:p>
        </w:tc>
      </w:tr>
      <w:tr w14:paraId="79F988C2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799" w:type="pct"/>
            <w:vAlign w:val="center"/>
          </w:tcPr>
          <w:p w14:paraId="4D66E9BB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XX国际贸易有限公司</w:t>
            </w:r>
          </w:p>
        </w:tc>
        <w:tc>
          <w:tcPr>
            <w:tcW w:w="1351" w:type="pct"/>
            <w:vAlign w:val="center"/>
          </w:tcPr>
          <w:p w14:paraId="7067FD8F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25.31</w:t>
            </w:r>
          </w:p>
        </w:tc>
        <w:tc>
          <w:tcPr>
            <w:tcW w:w="977" w:type="pct"/>
            <w:vAlign w:val="center"/>
          </w:tcPr>
          <w:p w14:paraId="044E217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11.42%</w:t>
            </w:r>
          </w:p>
        </w:tc>
        <w:tc>
          <w:tcPr>
            <w:tcW w:w="871" w:type="pct"/>
            <w:vAlign w:val="center"/>
          </w:tcPr>
          <w:p w14:paraId="2123176E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  <w:r>
              <w:rPr>
                <w:color w:val="000000"/>
              </w:rPr>
              <w:t>3个月以内</w:t>
            </w:r>
          </w:p>
        </w:tc>
      </w:tr>
      <w:tr w14:paraId="53992C6D">
        <w:tblPrEx>
          <w:tblBorders>
            <w:top w:val="single" w:color="010000" w:sz="12" w:space="0"/>
            <w:left w:val="single" w:color="010000" w:sz="12" w:space="0"/>
            <w:bottom w:val="single" w:color="010000" w:sz="12" w:space="0"/>
            <w:right w:val="single" w:color="010000" w:sz="12" w:space="0"/>
            <w:insideH w:val="single" w:color="010000" w:sz="4" w:space="0"/>
            <w:insideV w:val="single" w:color="01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799" w:type="pct"/>
            <w:vAlign w:val="center"/>
          </w:tcPr>
          <w:p w14:paraId="46804166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351" w:type="pct"/>
            <w:vAlign w:val="center"/>
          </w:tcPr>
          <w:p w14:paraId="2FAC12A2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977" w:type="pct"/>
            <w:vAlign w:val="center"/>
          </w:tcPr>
          <w:p w14:paraId="51CF050C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871" w:type="pct"/>
            <w:vAlign w:val="center"/>
          </w:tcPr>
          <w:p w14:paraId="08E0BE91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</w:tr>
    </w:tbl>
    <w:p w14:paraId="3661F4C4">
      <w:pPr>
        <w:keepNext w:val="0"/>
        <w:keepLines w:val="0"/>
        <w:pageBreakBefore w:val="0"/>
        <w:widowControl/>
        <w:kinsoku/>
        <w:overflowPunct/>
        <w:autoSpaceDE w:val="0"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</w:rPr>
        <w:t>.其他应收款</w:t>
      </w:r>
    </w:p>
    <w:p w14:paraId="1599151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cs="Times New Roman"/>
          <w:color w:val="FF0000"/>
          <w:szCs w:val="32"/>
          <w:lang w:eastAsia="zh-CN"/>
        </w:rPr>
      </w:pP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末、2023年末及2024年11月末，借款人其他应收款余额分别为47.68万元、39.31万元和72.56万元。2024年11月末较2023年末增加33.25万元，增幅84.56%，较2022年末增加24.88万元，增幅52.19%，增幅明显。其他应收款大幅增长，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。由于未获取明细资料。期末其他应收款金额前五大情况如下：</w:t>
      </w:r>
    </w:p>
    <w:tbl>
      <w:tblPr>
        <w:tblStyle w:val="7"/>
        <w:tblW w:w="92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1524"/>
        <w:gridCol w:w="1837"/>
        <w:gridCol w:w="1004"/>
        <w:gridCol w:w="1693"/>
      </w:tblGrid>
      <w:tr w14:paraId="5CCA8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3A18E8">
            <w:pPr>
              <w:pStyle w:val="9"/>
              <w:adjustRightInd w:val="0"/>
              <w:snapToGrid w:val="0"/>
              <w:ind w:firstLine="369" w:firstLineChars="20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单位名称</w:t>
            </w:r>
          </w:p>
        </w:tc>
        <w:tc>
          <w:tcPr>
            <w:tcW w:w="15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01B83C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款项性质</w:t>
            </w:r>
          </w:p>
        </w:tc>
        <w:tc>
          <w:tcPr>
            <w:tcW w:w="18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19F57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期末余额（万元）</w:t>
            </w: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E72182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账龄</w:t>
            </w:r>
          </w:p>
        </w:tc>
        <w:tc>
          <w:tcPr>
            <w:tcW w:w="1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C48A0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账款总额的比例（%）</w:t>
            </w:r>
          </w:p>
        </w:tc>
      </w:tr>
      <w:tr w14:paraId="491A6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2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93FF4E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FFF069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D7810D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8A9C3F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0D5EFB">
            <w:pPr>
              <w:pStyle w:val="9"/>
              <w:adjustRightInd w:val="0"/>
              <w:snapToGrid w:val="0"/>
              <w:ind w:firstLine="184" w:firstLineChars="10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4AF8E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2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56D122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D174E6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F010E2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56CDDF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D52462">
            <w:pPr>
              <w:pStyle w:val="9"/>
              <w:adjustRightInd w:val="0"/>
              <w:snapToGrid w:val="0"/>
              <w:ind w:firstLine="184" w:firstLineChars="10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77AD8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2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A4523E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5C12D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417D51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F7435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71EDAF">
            <w:pPr>
              <w:pStyle w:val="9"/>
              <w:adjustRightInd w:val="0"/>
              <w:snapToGrid w:val="0"/>
              <w:ind w:firstLine="184" w:firstLineChars="10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68BBE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2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ACAE3D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68D9DB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1CE22E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6A4ECF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47328A">
            <w:pPr>
              <w:pStyle w:val="9"/>
              <w:adjustRightInd w:val="0"/>
              <w:snapToGrid w:val="0"/>
              <w:ind w:firstLine="184" w:firstLineChars="10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46640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2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84ABC3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93F3D2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F19EED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52E426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33C21C">
            <w:pPr>
              <w:pStyle w:val="9"/>
              <w:adjustRightInd w:val="0"/>
              <w:snapToGrid w:val="0"/>
              <w:ind w:firstLine="184" w:firstLineChars="10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7761F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2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4E11C3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B1DBD8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B1636E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AE6985">
            <w:pPr>
              <w:pStyle w:val="9"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92A53E">
            <w:pPr>
              <w:pStyle w:val="9"/>
              <w:adjustRightInd w:val="0"/>
              <w:snapToGrid w:val="0"/>
              <w:ind w:firstLine="184" w:firstLineChars="10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 w14:paraId="2BBD8BE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</w:rPr>
        <w:t>.存货</w:t>
      </w:r>
    </w:p>
    <w:p w14:paraId="2E745A5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default" w:ascii="Times New Roman" w:hAnsi="Times New Roman" w:cs="Times New Roman"/>
          <w:color w:val="FF0000"/>
          <w:kern w:val="0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末、2023年末及2024年11月末，借款人存货余额分别为27.33万元、32.48万元和51.60万元。2024年11月末较2023年末增加19.12万元，增幅58.86%，较2022年末增加24.27万元，增幅88.81%，上升较快。期末存货前五项汇总金额8.07万元，占存货余额的15.64%，前五项情况如下：</w:t>
      </w:r>
    </w:p>
    <w:tbl>
      <w:tblPr>
        <w:tblStyle w:val="7"/>
        <w:tblW w:w="94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2"/>
        <w:gridCol w:w="3038"/>
        <w:gridCol w:w="4048"/>
      </w:tblGrid>
      <w:tr w14:paraId="7B1B3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tblHeader/>
          <w:jc w:val="center"/>
        </w:trPr>
        <w:tc>
          <w:tcPr>
            <w:tcW w:w="23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50FB3B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3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463EB2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期末余额（万元）</w:t>
            </w:r>
          </w:p>
        </w:tc>
        <w:tc>
          <w:tcPr>
            <w:tcW w:w="40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273DEF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  <w:lang w:eastAsia="zh-CN"/>
              </w:rPr>
              <w:t>存货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总额的比例（%）</w:t>
            </w:r>
          </w:p>
        </w:tc>
      </w:tr>
      <w:tr w14:paraId="4C548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9D320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  <w:r>
              <w:rPr>
                <w:color w:val="000000"/>
              </w:rPr>
              <w:t>出口包装木箱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270500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  <w:r>
              <w:rPr>
                <w:color w:val="000000"/>
              </w:rPr>
              <w:t>3.9</w:t>
            </w:r>
          </w:p>
        </w:tc>
        <w:tc>
          <w:tcPr>
            <w:tcW w:w="4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CCA2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7.56%</w:t>
            </w:r>
          </w:p>
        </w:tc>
      </w:tr>
      <w:tr w14:paraId="26708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F8328C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  <w:r>
              <w:rPr>
                <w:color w:val="000000"/>
              </w:rPr>
              <w:t>托盘（木质/塑料）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B44306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  <w:r>
              <w:rPr>
                <w:color w:val="000000"/>
              </w:rPr>
              <w:t>1.35</w:t>
            </w:r>
          </w:p>
        </w:tc>
        <w:tc>
          <w:tcPr>
            <w:tcW w:w="4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0CCC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2.62%</w:t>
            </w:r>
          </w:p>
        </w:tc>
      </w:tr>
      <w:tr w14:paraId="2C1B2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1F059A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  <w:r>
              <w:rPr>
                <w:color w:val="000000"/>
              </w:rPr>
              <w:t>缠绕膜/拉伸膜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2944D7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  <w:r>
              <w:rPr>
                <w:color w:val="000000"/>
              </w:rPr>
              <w:t>1.19</w:t>
            </w:r>
          </w:p>
        </w:tc>
        <w:tc>
          <w:tcPr>
            <w:tcW w:w="4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A582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2.31%</w:t>
            </w:r>
          </w:p>
        </w:tc>
      </w:tr>
      <w:tr w14:paraId="00DE2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83BCC7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  <w:r>
              <w:rPr>
                <w:color w:val="000000"/>
              </w:rPr>
              <w:t>纸箱（出口标准）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D4C260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  <w:r>
              <w:rPr>
                <w:color w:val="000000"/>
              </w:rPr>
              <w:t>0.88</w:t>
            </w:r>
          </w:p>
        </w:tc>
        <w:tc>
          <w:tcPr>
            <w:tcW w:w="4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C1E9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1.71%</w:t>
            </w:r>
          </w:p>
        </w:tc>
      </w:tr>
      <w:tr w14:paraId="17A4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2E4CA6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  <w:r>
              <w:rPr>
                <w:color w:val="000000"/>
              </w:rPr>
              <w:t>防潮袋/干燥剂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D8DB33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  <w:r>
              <w:rPr>
                <w:color w:val="000000"/>
              </w:rPr>
              <w:t>0.76</w:t>
            </w:r>
          </w:p>
        </w:tc>
        <w:tc>
          <w:tcPr>
            <w:tcW w:w="4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3151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1.47%</w:t>
            </w:r>
          </w:p>
        </w:tc>
      </w:tr>
      <w:tr w14:paraId="1F728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CFCA3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18"/>
                <w:szCs w:val="18"/>
              </w:rPr>
            </w:r>
          </w:p>
        </w:tc>
        <w:tc>
          <w:tcPr>
            <w:tcW w:w="3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BEABF6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40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A5D24A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 w14:paraId="43AFD7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5.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其他流动资产</w:t>
      </w:r>
    </w:p>
    <w:p w14:paraId="10172C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FF0000"/>
          <w:kern w:val="0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</w:p>
    <w:tbl>
      <w:tblPr>
        <w:tblStyle w:val="7"/>
        <w:tblW w:w="9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6"/>
        <w:gridCol w:w="2406"/>
        <w:gridCol w:w="3207"/>
      </w:tblGrid>
      <w:tr w14:paraId="394F4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tblHeader/>
          <w:jc w:val="center"/>
        </w:trPr>
        <w:tc>
          <w:tcPr>
            <w:tcW w:w="3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B92993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2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E60AE5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期末余额（万元）</w:t>
            </w:r>
          </w:p>
        </w:tc>
        <w:tc>
          <w:tcPr>
            <w:tcW w:w="32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4D9B19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  <w:lang w:eastAsia="zh-CN"/>
              </w:rPr>
              <w:t>存货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总额的比例（%）</w:t>
            </w:r>
          </w:p>
        </w:tc>
      </w:tr>
      <w:tr w14:paraId="732B1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91620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81E2BF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3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144D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</w:tr>
      <w:tr w14:paraId="35BAD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5221B3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5C5CFA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3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3447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</w:tr>
      <w:tr w14:paraId="220B1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B400C7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5CEC88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3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E7E7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</w:tr>
      <w:tr w14:paraId="67745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4236C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18"/>
                <w:szCs w:val="18"/>
              </w:rPr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2CD6D0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W w:w="3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3EDE3F">
            <w:pPr>
              <w:pStyle w:val="9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 w14:paraId="3F5929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6.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长期股权投资</w:t>
      </w:r>
    </w:p>
    <w:p w14:paraId="7B7656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FF0000"/>
          <w:kern w:val="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</w:rPr>
      </w: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2023年12月、2024年11月，借款人长期股权投资余额分别为0万元、0万元，较2023年末持平，变动幅度为0.00%。公司未持有任何长期股权投资，表明其经营策略聚焦于主业，未进行对外参股或合并性投资活动，资产结构以流动资产为主，投资风险较低。</w:t>
      </w:r>
    </w:p>
    <w:tbl>
      <w:tblPr>
        <w:tblStyle w:val="7"/>
        <w:tblW w:w="9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6"/>
        <w:gridCol w:w="2101"/>
        <w:gridCol w:w="2683"/>
      </w:tblGrid>
      <w:tr w14:paraId="20D3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2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被投资单位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年末余额（万元）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4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占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  <w:lang w:eastAsia="zh-CN"/>
              </w:rPr>
              <w:t>长期股权投资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总额的比例</w:t>
            </w:r>
          </w:p>
          <w:p w14:paraId="7AD2E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  <w:t>（%）</w:t>
            </w:r>
          </w:p>
        </w:tc>
      </w:tr>
      <w:tr w14:paraId="37491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7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0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righ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5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</w:tr>
      <w:tr w14:paraId="6AC88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4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F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righ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</w:tr>
      <w:tr w14:paraId="16011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B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4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righ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3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</w:tr>
      <w:tr w14:paraId="39AF1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F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C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righ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A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</w:tbl>
    <w:p w14:paraId="6780FB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.短期借款</w:t>
      </w:r>
    </w:p>
    <w:p w14:paraId="67CCEF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FF0000"/>
          <w:kern w:val="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lang w:val="en-US" w:eastAsia="zh-CN"/>
        </w:rPr>
      </w:r>
    </w:p>
    <w:p w14:paraId="09C46E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.应付账款</w:t>
      </w:r>
    </w:p>
    <w:p w14:paraId="2F6C57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FF0000"/>
          <w:kern w:val="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r>
      <w:r>
        <w:rPr>
          <w:rFonts w:hint="eastAsia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2022年12月、2023年12月、2024年11月，借款人应付账款余额分别为137.53万元、149.05万元、174.57万元，呈持续增长趋势。2024年11月末较2023年末增加25.53万元，增幅17.13%，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。期末应付账款最大5户汇总金额200.54万元，占应付账款余额的114.88%，最大5户情况如下：</w:t>
      </w:r>
    </w:p>
    <w:tbl>
      <w:tblPr>
        <w:tblStyle w:val="7"/>
        <w:tblW w:w="8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5"/>
        <w:gridCol w:w="1247"/>
        <w:gridCol w:w="1247"/>
        <w:gridCol w:w="1734"/>
      </w:tblGrid>
      <w:tr w14:paraId="5790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3915" w:type="dxa"/>
            <w:noWrap w:val="0"/>
            <w:vAlign w:val="center"/>
          </w:tcPr>
          <w:p w14:paraId="675471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债务人</w:t>
            </w:r>
          </w:p>
        </w:tc>
        <w:tc>
          <w:tcPr>
            <w:tcW w:w="1247" w:type="dxa"/>
            <w:noWrap w:val="0"/>
            <w:vAlign w:val="center"/>
          </w:tcPr>
          <w:p w14:paraId="2530A7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期末余额（万元）</w:t>
            </w:r>
          </w:p>
        </w:tc>
        <w:tc>
          <w:tcPr>
            <w:tcW w:w="1247" w:type="dxa"/>
            <w:noWrap w:val="0"/>
            <w:vAlign w:val="center"/>
          </w:tcPr>
          <w:p w14:paraId="57441E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关联关系</w:t>
            </w:r>
          </w:p>
        </w:tc>
        <w:tc>
          <w:tcPr>
            <w:tcW w:w="1734" w:type="dxa"/>
            <w:noWrap w:val="0"/>
            <w:vAlign w:val="center"/>
          </w:tcPr>
          <w:p w14:paraId="5B25DF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款项性质</w:t>
            </w:r>
          </w:p>
        </w:tc>
      </w:tr>
      <w:tr w14:paraId="4B84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15" w:type="dxa"/>
            <w:noWrap w:val="0"/>
            <w:vAlign w:val="center"/>
          </w:tcPr>
          <w:p w14:paraId="458CB8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XX物流（华东）有限公司</w:t>
            </w:r>
          </w:p>
        </w:tc>
        <w:tc>
          <w:tcPr>
            <w:tcW w:w="1247" w:type="dxa"/>
            <w:noWrap w:val="0"/>
            <w:vAlign w:val="center"/>
          </w:tcPr>
          <w:p w14:paraId="78D20B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48.49</w:t>
            </w:r>
          </w:p>
        </w:tc>
        <w:tc>
          <w:tcPr>
            <w:tcW w:w="1247" w:type="dxa"/>
            <w:noWrap w:val="0"/>
            <w:vAlign w:val="center"/>
          </w:tcPr>
          <w:p w14:paraId="5E152C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734" w:type="dxa"/>
            <w:noWrap w:val="0"/>
            <w:vAlign w:val="center"/>
          </w:tcPr>
          <w:p w14:paraId="553D46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3个月以内</w:t>
            </w:r>
          </w:p>
        </w:tc>
      </w:tr>
      <w:tr w14:paraId="0E81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15" w:type="dxa"/>
            <w:noWrap w:val="0"/>
            <w:vAlign w:val="center"/>
          </w:tcPr>
          <w:p w14:paraId="246AAA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XX航运（中国）有限公司</w:t>
            </w:r>
          </w:p>
        </w:tc>
        <w:tc>
          <w:tcPr>
            <w:tcW w:w="1247" w:type="dxa"/>
            <w:noWrap w:val="0"/>
            <w:vAlign w:val="center"/>
          </w:tcPr>
          <w:p w14:paraId="4AD6B6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44.76</w:t>
            </w:r>
          </w:p>
        </w:tc>
        <w:tc>
          <w:tcPr>
            <w:tcW w:w="1247" w:type="dxa"/>
            <w:noWrap w:val="0"/>
            <w:vAlign w:val="center"/>
          </w:tcPr>
          <w:p w14:paraId="4B773E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734" w:type="dxa"/>
            <w:noWrap w:val="0"/>
            <w:vAlign w:val="center"/>
          </w:tcPr>
          <w:p w14:paraId="18D428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3-6个月</w:t>
            </w:r>
          </w:p>
        </w:tc>
      </w:tr>
      <w:tr w14:paraId="68507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15" w:type="dxa"/>
            <w:noWrap w:val="0"/>
            <w:vAlign w:val="center"/>
          </w:tcPr>
          <w:p w14:paraId="100DF6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XX国际航运（中国）有限公司</w:t>
            </w:r>
          </w:p>
        </w:tc>
        <w:tc>
          <w:tcPr>
            <w:tcW w:w="1247" w:type="dxa"/>
            <w:noWrap w:val="0"/>
            <w:vAlign w:val="center"/>
          </w:tcPr>
          <w:p w14:paraId="405B40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44.09</w:t>
            </w:r>
          </w:p>
        </w:tc>
        <w:tc>
          <w:tcPr>
            <w:tcW w:w="1247" w:type="dxa"/>
            <w:noWrap w:val="0"/>
            <w:vAlign w:val="center"/>
          </w:tcPr>
          <w:p w14:paraId="14264B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734" w:type="dxa"/>
            <w:noWrap w:val="0"/>
            <w:vAlign w:val="center"/>
          </w:tcPr>
          <w:p w14:paraId="0F5FE3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1年以内</w:t>
            </w:r>
          </w:p>
        </w:tc>
      </w:tr>
      <w:tr w14:paraId="5F53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15" w:type="dxa"/>
            <w:noWrap w:val="0"/>
            <w:vAlign w:val="center"/>
          </w:tcPr>
          <w:p w14:paraId="65A3D2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XX国际集装箱码头有限公司</w:t>
            </w:r>
          </w:p>
        </w:tc>
        <w:tc>
          <w:tcPr>
            <w:tcW w:w="1247" w:type="dxa"/>
            <w:noWrap w:val="0"/>
            <w:vAlign w:val="center"/>
          </w:tcPr>
          <w:p w14:paraId="5D41C2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33.59</w:t>
            </w:r>
          </w:p>
        </w:tc>
        <w:tc>
          <w:tcPr>
            <w:tcW w:w="1247" w:type="dxa"/>
            <w:noWrap w:val="0"/>
            <w:vAlign w:val="center"/>
          </w:tcPr>
          <w:p w14:paraId="4C1A94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734" w:type="dxa"/>
            <w:noWrap w:val="0"/>
            <w:vAlign w:val="center"/>
          </w:tcPr>
          <w:p w14:paraId="0A0AC7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3个月以内</w:t>
            </w:r>
          </w:p>
        </w:tc>
      </w:tr>
      <w:tr w14:paraId="56CE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15" w:type="dxa"/>
            <w:noWrap w:val="0"/>
            <w:vAlign w:val="center"/>
          </w:tcPr>
          <w:p w14:paraId="746528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XX能源运输有限公司</w:t>
            </w:r>
          </w:p>
        </w:tc>
        <w:tc>
          <w:tcPr>
            <w:tcW w:w="1247" w:type="dxa"/>
            <w:noWrap w:val="0"/>
            <w:vAlign w:val="center"/>
          </w:tcPr>
          <w:p w14:paraId="251767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29.61</w:t>
            </w:r>
          </w:p>
        </w:tc>
        <w:tc>
          <w:tcPr>
            <w:tcW w:w="1247" w:type="dxa"/>
            <w:noWrap w:val="0"/>
            <w:vAlign w:val="center"/>
          </w:tcPr>
          <w:p w14:paraId="09A250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734" w:type="dxa"/>
            <w:noWrap w:val="0"/>
            <w:vAlign w:val="center"/>
          </w:tcPr>
          <w:p w14:paraId="5D3D81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  <w:r>
              <w:rPr>
                <w:color w:val="000000"/>
              </w:rPr>
              <w:t>3个月以内</w:t>
            </w:r>
          </w:p>
        </w:tc>
      </w:tr>
      <w:tr w14:paraId="5833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15" w:type="dxa"/>
            <w:noWrap w:val="0"/>
            <w:vAlign w:val="center"/>
          </w:tcPr>
          <w:p w14:paraId="5BE147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247" w:type="dxa"/>
            <w:noWrap w:val="0"/>
            <w:vAlign w:val="center"/>
          </w:tcPr>
          <w:p w14:paraId="724E43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r>
          </w:p>
        </w:tc>
        <w:tc>
          <w:tcPr>
            <w:tcW w:w="1247" w:type="dxa"/>
            <w:noWrap w:val="0"/>
            <w:vAlign w:val="center"/>
          </w:tcPr>
          <w:p w14:paraId="32AF75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734" w:type="dxa"/>
            <w:noWrap w:val="0"/>
            <w:vAlign w:val="center"/>
          </w:tcPr>
          <w:p w14:paraId="734282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391694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.其他应付款</w:t>
      </w:r>
    </w:p>
    <w:p w14:paraId="4064D8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r>
      <w:r>
        <w:rPr>
          <w:rFonts w:hint="eastAsia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12月、2023年12月、2024年11月，借款人其他应付款余额分别为57.91万元、59.98万元、62.11万元。2024年11月末较2023年末增加2.14万元，增幅3.56%，增长幅度较小，主要为日常经营中形成的往来款项、押金及保证金等，可能在业务结算和资金周转中产生波动，具体原因</w:t>
      </w:r>
      <w:r>
        <w:rPr>
          <w:color w:val="000000"/>
          <w:highlight w:val="yellow"/>
        </w:rPr>
        <w:t>需要进一步核实</w:t>
      </w:r>
      <w:r>
        <w:rPr>
          <w:color w:val="000000"/>
        </w:rPr>
        <w:t>。</w:t>
      </w:r>
    </w:p>
    <w:p w14:paraId="27BA2A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.实收资本</w:t>
      </w:r>
    </w:p>
    <w:p w14:paraId="14C9A8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Cs w:val="32"/>
          <w:lang w:val="en-US" w:eastAsia="zh-CN"/>
        </w:rPr>
      </w:r>
    </w:p>
    <w:p w14:paraId="7798BA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11.</w:t>
      </w:r>
      <w:r>
        <w:rPr>
          <w:rFonts w:hint="default" w:ascii="Times New Roman" w:hAnsi="Times New Roman" w:cs="Times New Roman"/>
          <w:b/>
          <w:bCs/>
          <w:color w:val="000000"/>
          <w:kern w:val="0"/>
          <w:szCs w:val="32"/>
          <w:lang w:val="en-US" w:eastAsia="zh-CN"/>
        </w:rPr>
        <w:t>未分配利润</w:t>
      </w:r>
    </w:p>
    <w:p w14:paraId="4BEFBA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Cs w:val="32"/>
          <w:lang w:val="en-US" w:eastAsia="zh-CN"/>
        </w:rPr>
      </w:r>
      <w:r>
        <w:rPr>
          <w:rFonts w:hint="eastAsia" w:ascii="Times New Roman" w:hAnsi="Times New Roman" w:eastAsia="仿宋_GB2312" w:cs="Times New Roman"/>
          <w:color w:val="000000"/>
          <w:kern w:val="0"/>
          <w:szCs w:val="32"/>
          <w:lang w:val="en-US" w:eastAsia="zh-CN"/>
        </w:rPr>
      </w:r>
      <w:r>
        <w:rPr>
          <w:rFonts w:hint="default" w:ascii="Times New Roman" w:hAnsi="Times New Roman" w:eastAsia="仿宋_GB2312" w:cs="Times New Roman"/>
          <w:color w:val="000000"/>
          <w:kern w:val="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2022年12月、2023年12月、2024年11月，借款人未分配利润余额分别为198.45万元、251.88万元、307.35万元，保持逐年稳定增长。2024年11月末较2023年末增加55.47万元，增幅22.02%；增加额与当期实现净利润55.47万元完全一致，表明公司盈利全部留存用于经营发展，未向股东进行利润分配，有利于增强资本积累和内部融资能力。</w:t>
      </w:r>
    </w:p>
    <w:p w14:paraId="4036F140">
      <w:pPr>
        <w:pStyle w:val="4"/>
        <w:ind w:firstLine="640"/>
        <w:rPr>
          <w:rFonts w:hint="default" w:ascii="Times New Roman" w:hAnsi="Times New Roman" w:cs="Times New Roman"/>
          <w:color w:val="FF0000"/>
          <w:szCs w:val="32"/>
        </w:rPr>
      </w:pPr>
      <w:bookmarkStart w:id="16" w:name="_Toc202796928"/>
      <w:bookmarkStart w:id="17" w:name="_Toc28852"/>
      <w:bookmarkStart w:id="18" w:name="_Toc169702767"/>
      <w:bookmarkStart w:id="19" w:name="_Toc31511"/>
      <w:bookmarkStart w:id="20" w:name="_Toc32059"/>
      <w:bookmarkStart w:id="21" w:name="_Toc30909"/>
      <w:bookmarkStart w:id="22" w:name="_Toc8193"/>
      <w:bookmarkStart w:id="23" w:name="_Toc15860"/>
      <w:r>
        <w:rPr>
          <w:rFonts w:hint="default" w:ascii="Times New Roman" w:hAnsi="Times New Roman" w:cs="Times New Roman"/>
          <w:color w:val="000000"/>
          <w:szCs w:val="32"/>
        </w:rPr>
        <w:t>二、利润表分析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210F087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ind w:firstLine="640"/>
        <w:jc w:val="left"/>
        <w:textAlignment w:val="auto"/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</w:rPr>
      </w:r>
    </w:p>
    <w:p w14:paraId="77BFF11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ind w:firstLine="640"/>
        <w:jc w:val="left"/>
        <w:textAlignment w:val="auto"/>
        <w:rPr>
          <w:rFonts w:hint="default" w:ascii="Times New Roman" w:hAnsi="Times New Roman" w:cs="Times New Roman"/>
          <w:color w:val="FF0000"/>
          <w:kern w:val="0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</w:rPr>
        <w:t>利润表主要科目分析如下：</w:t>
      </w:r>
    </w:p>
    <w:p w14:paraId="10435D5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1.营业收入</w:t>
      </w:r>
    </w:p>
    <w:p w14:paraId="50CB19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近三年及近期，借款人营业收入分别为1,675.46万元、1,833.90万元和1,780.45万元。2024年11月营业收入较2023年12月减少53.45万元，降幅2.91%，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；较2022年12月增加104.99万元，增幅6.27%，反映近两年业务规模整体有所扩大。</w:t>
      </w:r>
    </w:p>
    <w:p w14:paraId="2962014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2.营业成本</w:t>
      </w:r>
    </w:p>
    <w:p w14:paraId="2D558F0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eastAsia="方正仿宋_GBK" w:cs="Times New Roman"/>
          <w:color w:val="FF0000"/>
          <w:szCs w:val="32"/>
          <w:lang w:eastAsia="zh-CN"/>
        </w:rPr>
      </w:pP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  <w:t>近三年及近期，借款人营业成本分别为1,287.09万元、1,423.06万元和1,374.23万元。2024年11月较2023年12月减少48.83万元，降幅3.43%，营业成本变动与营业收入变动基本匹配；较2022年12月增加87.14万元，增幅6.77%，随业务量增长而相应上升。</w:t>
      </w:r>
    </w:p>
    <w:p w14:paraId="4A3F184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3.财务费用</w:t>
      </w:r>
    </w:p>
    <w:p w14:paraId="2B8CBB1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eastAsia="方正仿宋_GBK" w:cs="Times New Roman"/>
          <w:color w:val="FF0000"/>
          <w:szCs w:val="32"/>
          <w:lang w:eastAsia="zh-CN"/>
        </w:rPr>
      </w:pP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近三年及近期，借款人财务费用分别为1.42万元、1.00万元和0.97万元。2024年11月较2023年12月减少0.03万元，降幅2.91%，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；较2022年12月减少0.45万元。财务费用整体规模较小，对利润影响有限。</w:t>
      </w:r>
    </w:p>
    <w:p w14:paraId="48A5F6D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4.净利润</w:t>
      </w:r>
    </w:p>
    <w:p w14:paraId="23EEAB4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近三年及近期，借款人净利润分别为45.40万元、53.43万元和55.47万元。2024年11月净利润较2023年12月增加2.05万元，增幅3.83%，</w:t>
      </w:r>
      <w:r>
        <w:rPr>
          <w:color w:val="000000"/>
          <w:highlight w:val="yellow"/>
        </w:rPr>
        <w:t>可能与业务规模、结算节奏等因素有关，具体原因需要进一步核实</w:t>
      </w:r>
      <w:r>
        <w:rPr>
          <w:color w:val="000000"/>
        </w:rPr>
        <w:t>；较2022年12月增加10.08万元，增幅22.19%，盈利水平稳步提升。</w:t>
      </w:r>
    </w:p>
    <w:p w14:paraId="3CC7F74B">
      <w:pPr>
        <w:pStyle w:val="4"/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cs="Times New Roman"/>
          <w:color w:val="FF0000"/>
        </w:rPr>
      </w:pPr>
      <w:bookmarkStart w:id="24" w:name="_Toc18068"/>
      <w:bookmarkStart w:id="25" w:name="_Toc30202"/>
      <w:bookmarkStart w:id="26" w:name="_Toc11550"/>
      <w:bookmarkStart w:id="27" w:name="_Toc169702768"/>
      <w:bookmarkStart w:id="28" w:name="_Toc202796929"/>
      <w:bookmarkStart w:id="29" w:name="_Toc16637"/>
      <w:bookmarkStart w:id="30" w:name="_Toc13822"/>
      <w:bookmarkStart w:id="31" w:name="_Toc24725"/>
      <w:r>
        <w:rPr>
          <w:rFonts w:hint="default" w:ascii="Times New Roman" w:hAnsi="Times New Roman" w:cs="Times New Roman"/>
          <w:color w:val="000000"/>
        </w:rPr>
        <w:t>三、现金流量表分析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4456D5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ind w:firstLine="640"/>
        <w:jc w:val="left"/>
        <w:textAlignment w:val="auto"/>
        <w:rPr>
          <w:rFonts w:hint="default" w:ascii="Times New Roman" w:hAnsi="Times New Roman" w:cs="Times New Roman"/>
          <w:b w:val="0"/>
          <w:bCs/>
          <w:i w:val="0"/>
          <w:color w:val="FF0000"/>
          <w:sz w:val="32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</w:rPr>
      </w:r>
    </w:p>
    <w:p w14:paraId="36B5E84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1.经营活动的现金流量分析</w:t>
      </w:r>
    </w:p>
    <w:p w14:paraId="72EC537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末、2023年末及2024年11月末，借款人经营活动产生的现金流量净额分别为22.53万元、35.13万元和39.97万元，持续为正且逐年增加，反映出企业经营活动获现能力较好。2024年11月末较2023年末增加4.84万元，增幅13.77%，可能与业务规模扩大、销售回款改善等因素有关；具体原因</w:t>
      </w:r>
      <w:r>
        <w:rPr>
          <w:color w:val="000000"/>
          <w:highlight w:val="yellow"/>
        </w:rPr>
        <w:t>需要进一步核实</w:t>
      </w:r>
      <w:r>
        <w:rPr>
          <w:color w:val="000000"/>
        </w:rPr>
        <w:t>。</w:t>
      </w:r>
    </w:p>
    <w:p w14:paraId="144005F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2.投资活动的现金流量分析</w:t>
      </w:r>
    </w:p>
    <w:p w14:paraId="30B3D43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FF0000"/>
          <w:szCs w:val="32"/>
        </w:rPr>
      </w:r>
      <w:r>
        <w:rPr>
          <w:rFonts w:hint="default" w:ascii="Times New Roman" w:hAnsi="Times New Roman" w:cs="Times New Roman"/>
          <w:color w:val="FF0000"/>
          <w:szCs w:val="32"/>
          <w:lang w:eastAsia="zh-CN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yellow"/>
        </w:rPr>
      </w:r>
      <w:r>
        <w:rPr>
          <w:color w:val="000000"/>
        </w:rPr>
      </w:r>
      <w:r>
        <w:rPr>
          <w:color w:val="000000"/>
        </w:rPr>
        <w:t>2022年末、2023年末及2024年11月末，借款人投资活动产生的现金流量净额分别为-11.74万元、-16.97万元和-21.21万元，持续为负且净流出规模逐年扩大，2024年11月末较2023年末净流出增加4.23万元，降幅24.95%（反映净流出增幅）。这显示企业可能在持续进行固定资产购建或长期投资，与经营扩张态势相符，但需关注投资回报周期及对资金链的影响，具体原因</w:t>
      </w:r>
      <w:r>
        <w:rPr>
          <w:color w:val="000000"/>
          <w:highlight w:val="yellow"/>
        </w:rPr>
        <w:t>需要进一步核实</w:t>
      </w:r>
      <w:r>
        <w:rPr>
          <w:color w:val="000000"/>
        </w:rPr>
        <w:t>。</w:t>
      </w:r>
    </w:p>
    <w:p w14:paraId="4C8C88B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3"/>
        <w:textAlignment w:val="auto"/>
        <w:rPr>
          <w:rFonts w:hint="default" w:ascii="Times New Roman" w:hAnsi="Times New Roman" w:cs="Times New Roman"/>
          <w:b/>
          <w:bCs/>
          <w:color w:val="FF0000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Cs w:val="32"/>
        </w:rPr>
        <w:t>3.筹资活动的现金流量分析</w:t>
      </w:r>
    </w:p>
    <w:p w14:paraId="3996937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color w:val="000000"/>
        </w:rPr>
      </w:r>
      <w:r>
        <w:rPr>
          <w:color w:val="000000"/>
        </w:rPr>
        <w:t>2022年末、2023年末及2024年11月末，借款人筹资活动产生的现金流量净额均为0万元，表明企业未发生外部借款、偿还债务或分配股利等筹资行为。这反映出借款人主要依赖内部经营积累支撑运营和投资，财务政策较为保守，但若未来投资需求加大，可能面临一定的筹资压力，需关注其后续融资能力的变化。</w:t>
      </w:r>
    </w:p>
    <w:p w14:paraId="6BE893B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firstLine="640"/>
        <w:textAlignment w:val="auto"/>
        <w:rPr>
          <w:rFonts w:hint="default" w:ascii="Times New Roman" w:hAnsi="Times New Roman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color w:val="000000"/>
          <w:szCs w:val="32"/>
        </w:rPr>
      </w:r>
      <w:r>
        <w:rPr>
          <w:rFonts w:hint="default" w:ascii="Times New Roman" w:hAnsi="Times New Roman" w:cs="Times New Roman"/>
          <w:color w:val="000000"/>
          <w:szCs w:val="32"/>
          <w:lang w:eastAsia="zh-CN"/>
        </w:rPr>
      </w:r>
      <w:r>
        <w:rPr>
          <w:rFonts w:hint="default" w:ascii="Times New Roman" w:hAnsi="Times New Roman" w:cs="Times New Roman"/>
          <w:color w:val="000000"/>
          <w:szCs w:val="32"/>
        </w:rPr>
      </w:r>
    </w:p>
    <w:p w14:paraId="233B93F3">
      <w:pPr>
        <w:pStyle w:val="4"/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FF0000"/>
        </w:rPr>
      </w:pPr>
      <w:bookmarkStart w:id="32" w:name="_Toc25368"/>
      <w:bookmarkStart w:id="33" w:name="_Toc202796930"/>
      <w:bookmarkStart w:id="34" w:name="_Toc19794"/>
      <w:bookmarkStart w:id="35" w:name="_Toc169702769"/>
      <w:bookmarkStart w:id="36" w:name="_Toc9664"/>
      <w:bookmarkStart w:id="37" w:name="_Toc10734"/>
      <w:bookmarkStart w:id="38" w:name="_Toc29667"/>
      <w:bookmarkStart w:id="39" w:name="_Toc30890"/>
      <w:bookmarkStart w:id="40" w:name="_Toc19116"/>
      <w:r>
        <w:rPr>
          <w:rFonts w:hint="default" w:ascii="Times New Roman" w:hAnsi="Times New Roman" w:cs="Times New Roman"/>
          <w:color w:val="000000"/>
        </w:rPr>
        <w:t>四、主要财务指标分析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73412D41">
      <w:pPr>
        <w:pStyle w:val="5"/>
        <w:keepNext w:val="0"/>
        <w:keepLines w:val="0"/>
        <w:pageBreakBefore w:val="0"/>
        <w:kinsoku/>
        <w:wordWrap/>
        <w:overflowPunct/>
        <w:topLinePunct w:val="0"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FF0000"/>
        </w:rPr>
      </w:pPr>
      <w:bookmarkStart w:id="41" w:name="_Toc202796931"/>
      <w:bookmarkStart w:id="42" w:name="_Toc169702770"/>
      <w:r>
        <w:rPr>
          <w:rFonts w:hint="default" w:ascii="Times New Roman" w:hAnsi="Times New Roman" w:cs="Times New Roman"/>
          <w:color w:val="000000"/>
        </w:rPr>
        <w:t>（一）偿债能力分析</w:t>
      </w:r>
      <w:bookmarkEnd w:id="41"/>
      <w:bookmarkEnd w:id="42"/>
    </w:p>
    <w:tbl>
      <w:tblPr>
        <w:tblStyle w:val="7"/>
        <w:tblW w:w="90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1039"/>
        <w:gridCol w:w="1022"/>
        <w:gridCol w:w="1044"/>
        <w:gridCol w:w="2637"/>
      </w:tblGrid>
      <w:tr w14:paraId="62E3C6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184C991A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项目</w:t>
            </w:r>
          </w:p>
        </w:tc>
        <w:tc>
          <w:tcPr>
            <w:tcW w:w="1039" w:type="dxa"/>
            <w:vAlign w:val="center"/>
          </w:tcPr>
          <w:p w14:paraId="014F73B1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2022年12月</w:t>
            </w:r>
          </w:p>
        </w:tc>
        <w:tc>
          <w:tcPr>
            <w:tcW w:w="1022" w:type="dxa"/>
            <w:vAlign w:val="center"/>
          </w:tcPr>
          <w:p w14:paraId="50B1962A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2023年12月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2FC1909E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2024年11月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659F478A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</w:p>
        </w:tc>
      </w:tr>
      <w:tr w14:paraId="2B6FB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69DFD936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流动比率（倍）</w:t>
            </w:r>
          </w:p>
        </w:tc>
        <w:tc>
          <w:tcPr>
            <w:tcW w:w="1039" w:type="dxa"/>
            <w:vAlign w:val="center"/>
          </w:tcPr>
          <w:p w14:paraId="42F5BA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1.54</w:t>
            </w:r>
          </w:p>
        </w:tc>
        <w:tc>
          <w:tcPr>
            <w:tcW w:w="1022" w:type="dxa"/>
            <w:vAlign w:val="center"/>
          </w:tcPr>
          <w:p w14:paraId="0993AB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1.67</w:t>
            </w:r>
          </w:p>
        </w:tc>
        <w:tc>
          <w:tcPr>
            <w:tcW w:w="1044" w:type="dxa"/>
            <w:vAlign w:val="center"/>
          </w:tcPr>
          <w:p w14:paraId="7E5F6C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1.73</w:t>
            </w:r>
          </w:p>
        </w:tc>
        <w:tc>
          <w:tcPr>
            <w:tcW w:w="2637" w:type="dxa"/>
            <w:vAlign w:val="center"/>
          </w:tcPr>
          <w:p w14:paraId="2AB28BB6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7F6FA4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16B4608B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速动比率（倍）</w:t>
            </w:r>
          </w:p>
        </w:tc>
        <w:tc>
          <w:tcPr>
            <w:tcW w:w="1039" w:type="dxa"/>
            <w:vAlign w:val="center"/>
          </w:tcPr>
          <w:p w14:paraId="111C40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1.41</w:t>
            </w:r>
          </w:p>
        </w:tc>
        <w:tc>
          <w:tcPr>
            <w:tcW w:w="1022" w:type="dxa"/>
            <w:vAlign w:val="center"/>
          </w:tcPr>
          <w:p w14:paraId="5F9DE3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1.53</w:t>
            </w:r>
          </w:p>
        </w:tc>
        <w:tc>
          <w:tcPr>
            <w:tcW w:w="1044" w:type="dxa"/>
            <w:vAlign w:val="center"/>
          </w:tcPr>
          <w:p w14:paraId="6C875A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1.53</w:t>
            </w:r>
          </w:p>
        </w:tc>
        <w:tc>
          <w:tcPr>
            <w:tcW w:w="2637" w:type="dxa"/>
            <w:vAlign w:val="center"/>
          </w:tcPr>
          <w:p w14:paraId="4643D348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0FD937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79C16BDF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资产负债率（%）</w:t>
            </w:r>
          </w:p>
        </w:tc>
        <w:tc>
          <w:tcPr>
            <w:tcW w:w="1039" w:type="dxa"/>
            <w:vAlign w:val="center"/>
          </w:tcPr>
          <w:p w14:paraId="65274A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51.57%</w:t>
            </w:r>
          </w:p>
        </w:tc>
        <w:tc>
          <w:tcPr>
            <w:tcW w:w="1022" w:type="dxa"/>
            <w:vAlign w:val="center"/>
          </w:tcPr>
          <w:p w14:paraId="4F68DA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47.54%</w:t>
            </w:r>
          </w:p>
        </w:tc>
        <w:tc>
          <w:tcPr>
            <w:tcW w:w="1044" w:type="dxa"/>
            <w:vAlign w:val="center"/>
          </w:tcPr>
          <w:p w14:paraId="708F29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45.79%</w:t>
            </w:r>
          </w:p>
        </w:tc>
        <w:tc>
          <w:tcPr>
            <w:tcW w:w="2637" w:type="dxa"/>
            <w:vAlign w:val="center"/>
          </w:tcPr>
          <w:p w14:paraId="75567A28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4A5401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31879082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EBITDA利息保障倍数（倍）</w:t>
            </w:r>
          </w:p>
        </w:tc>
        <w:tc>
          <w:tcPr>
            <w:tcW w:w="1039" w:type="dxa"/>
            <w:vAlign w:val="center"/>
          </w:tcPr>
          <w:p w14:paraId="588A6C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</w:p>
        </w:tc>
        <w:tc>
          <w:tcPr>
            <w:tcW w:w="1022" w:type="dxa"/>
            <w:vAlign w:val="center"/>
          </w:tcPr>
          <w:p w14:paraId="121765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</w:p>
        </w:tc>
        <w:tc>
          <w:tcPr>
            <w:tcW w:w="1044" w:type="dxa"/>
            <w:vAlign w:val="center"/>
          </w:tcPr>
          <w:p w14:paraId="60339B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</w:p>
        </w:tc>
        <w:tc>
          <w:tcPr>
            <w:tcW w:w="2637" w:type="dxa"/>
            <w:vAlign w:val="center"/>
          </w:tcPr>
          <w:p w14:paraId="2641927E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</w:tbl>
    <w:p w14:paraId="3CBF754A">
      <w:pP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从短期偿债指标来看，2022年12月、2023年12月、2024年11月流动比率分别为1.54、1.67、1.73；速动比率分别为1.41、1.53、1.53。流动比率呈稳步提升态势，表明企业短期偿债能力有所增强。</w:t>
      </w:r>
    </w:p>
    <w:p w14:paraId="1EE238A5">
      <w:pP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从长期偿债指标来看，2022年12月、2023年12月、2024年11月资产负债率分别为51.57%、47.54%、45.79%，呈逐年下降趋势，负债水平较低，长期偿债能力较强。所有者权益较2023年末增长22.02%是带动资产负债率下降的主要驱动因素。</w:t>
      </w:r>
    </w:p>
    <w:p w14:paraId="386E2F11">
      <w:pPr>
        <w:pStyle w:val="5"/>
        <w:keepNext w:val="0"/>
        <w:keepLines w:val="0"/>
        <w:pageBreakBefore w:val="0"/>
        <w:kinsoku/>
        <w:wordWrap/>
        <w:overflowPunct/>
        <w:topLinePunct w:val="0"/>
        <w:autoSpaceDN/>
        <w:bidi w:val="0"/>
        <w:textAlignment w:val="auto"/>
        <w:rPr>
          <w:rFonts w:hint="default" w:ascii="Times New Roman" w:hAnsi="Times New Roman" w:cs="Times New Roman"/>
          <w:color w:val="FF0000"/>
          <w:lang w:val="en-US" w:eastAsia="zh-CN"/>
        </w:rPr>
      </w:pPr>
      <w:bookmarkStart w:id="43" w:name="_Toc169702771"/>
      <w:bookmarkStart w:id="44" w:name="_Toc202796932"/>
      <w:r>
        <w:rPr>
          <w:rFonts w:hint="default" w:ascii="Times New Roman" w:hAnsi="Times New Roman" w:cs="Times New Roman"/>
          <w:color w:val="000000"/>
          <w:lang w:val="en-US" w:eastAsia="zh-CN"/>
        </w:rPr>
        <w:t>（二）营运能力分析</w:t>
      </w:r>
      <w:bookmarkEnd w:id="43"/>
      <w:bookmarkEnd w:id="44"/>
    </w:p>
    <w:tbl>
      <w:tblPr>
        <w:tblStyle w:val="7"/>
        <w:tblW w:w="90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07"/>
        <w:gridCol w:w="1107"/>
        <w:gridCol w:w="1107"/>
        <w:gridCol w:w="2874"/>
      </w:tblGrid>
      <w:tr w14:paraId="155897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60" w:type="dxa"/>
            <w:shd w:val="clear" w:color="auto" w:fill="auto"/>
            <w:vAlign w:val="center"/>
          </w:tcPr>
          <w:p w14:paraId="2C5C6EF8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项目</w:t>
            </w:r>
          </w:p>
        </w:tc>
        <w:tc>
          <w:tcPr>
            <w:tcW w:w="1107" w:type="dxa"/>
            <w:vAlign w:val="center"/>
          </w:tcPr>
          <w:p w14:paraId="0D4B08E7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2022年12月</w:t>
            </w:r>
          </w:p>
        </w:tc>
        <w:tc>
          <w:tcPr>
            <w:tcW w:w="1107" w:type="dxa"/>
            <w:vAlign w:val="center"/>
          </w:tcPr>
          <w:p w14:paraId="38DE2D2C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2023年12月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1B34AB2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2024年11月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27076586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</w:p>
        </w:tc>
      </w:tr>
      <w:tr w14:paraId="121AB1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0" w:type="dxa"/>
            <w:vAlign w:val="center"/>
          </w:tcPr>
          <w:p w14:paraId="1E071C07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应收账款周转率（次）</w:t>
            </w:r>
          </w:p>
        </w:tc>
        <w:tc>
          <w:tcPr>
            <w:tcW w:w="1107" w:type="dxa"/>
            <w:vAlign w:val="center"/>
          </w:tcPr>
          <w:p w14:paraId="3BA243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9.14</w:t>
            </w:r>
          </w:p>
        </w:tc>
        <w:tc>
          <w:tcPr>
            <w:tcW w:w="1107" w:type="dxa"/>
            <w:vAlign w:val="center"/>
          </w:tcPr>
          <w:p w14:paraId="498F89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9.02</w:t>
            </w:r>
          </w:p>
        </w:tc>
        <w:tc>
          <w:tcPr>
            <w:tcW w:w="1107" w:type="dxa"/>
            <w:vAlign w:val="center"/>
          </w:tcPr>
          <w:p w14:paraId="24046C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8.01</w:t>
            </w:r>
          </w:p>
        </w:tc>
        <w:tc>
          <w:tcPr>
            <w:tcW w:w="2874" w:type="dxa"/>
            <w:vAlign w:val="center"/>
          </w:tcPr>
          <w:p w14:paraId="544CE4F5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18DB28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0" w:type="dxa"/>
            <w:vAlign w:val="center"/>
          </w:tcPr>
          <w:p w14:paraId="6509D744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存货周转率（次）</w:t>
            </w:r>
          </w:p>
        </w:tc>
        <w:tc>
          <w:tcPr>
            <w:tcW w:w="1107" w:type="dxa"/>
            <w:vAlign w:val="center"/>
          </w:tcPr>
          <w:p w14:paraId="45696E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47.10</w:t>
            </w:r>
          </w:p>
        </w:tc>
        <w:tc>
          <w:tcPr>
            <w:tcW w:w="1107" w:type="dxa"/>
            <w:vAlign w:val="center"/>
          </w:tcPr>
          <w:p w14:paraId="6E2A3C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47.59</w:t>
            </w:r>
          </w:p>
        </w:tc>
        <w:tc>
          <w:tcPr>
            <w:tcW w:w="1107" w:type="dxa"/>
            <w:vAlign w:val="center"/>
          </w:tcPr>
          <w:p w14:paraId="43E2CC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32.69</w:t>
            </w:r>
          </w:p>
        </w:tc>
        <w:tc>
          <w:tcPr>
            <w:tcW w:w="2874" w:type="dxa"/>
            <w:vAlign w:val="center"/>
          </w:tcPr>
          <w:p w14:paraId="4E4A383B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2D5552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0" w:type="dxa"/>
            <w:vAlign w:val="center"/>
          </w:tcPr>
          <w:p w14:paraId="7C565F4B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总资产周转率（次）</w:t>
            </w:r>
          </w:p>
        </w:tc>
        <w:tc>
          <w:tcPr>
            <w:tcW w:w="1107" w:type="dxa"/>
            <w:vAlign w:val="center"/>
          </w:tcPr>
          <w:p w14:paraId="5D3126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4.09</w:t>
            </w:r>
          </w:p>
        </w:tc>
        <w:tc>
          <w:tcPr>
            <w:tcW w:w="1107" w:type="dxa"/>
            <w:vAlign w:val="center"/>
          </w:tcPr>
          <w:p w14:paraId="1D2972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4.12</w:t>
            </w:r>
          </w:p>
        </w:tc>
        <w:tc>
          <w:tcPr>
            <w:tcW w:w="1107" w:type="dxa"/>
            <w:vAlign w:val="center"/>
          </w:tcPr>
          <w:p w14:paraId="33D68A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3.40</w:t>
            </w:r>
          </w:p>
        </w:tc>
        <w:tc>
          <w:tcPr>
            <w:tcW w:w="2874" w:type="dxa"/>
            <w:vAlign w:val="center"/>
          </w:tcPr>
          <w:p w14:paraId="31AE85B0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</w:tbl>
    <w:p w14:paraId="01AEB460">
      <w:pP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  <w:t>应收账款周转率分别为2022年12月、2023年12月、2024年11月的9.14、9.02、8.01次。应收账款周转率有所下降，需关注回款周期变化。</w:t>
      </w:r>
    </w:p>
    <w:p w14:paraId="4013CD8F">
      <w:pP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2022年12月、2023年12月、2024年11月存货周转率分别为47.10次、47.59次、32.69次，周转速度放缓。2024年11月末存货余额51.60万元，较2023年末大幅增加58.86%，是导致周转率下降的重要原因。</w:t>
      </w:r>
    </w:p>
    <w:p w14:paraId="493F6871">
      <w:pP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2022年12月、2023年12月、2024年11月总资产周转率分别为4.09次、4.12次、3.40次，整体仍处于较高水平，反映企业资产运营效率良好。</w:t>
      </w:r>
    </w:p>
    <w:p w14:paraId="11047ED6">
      <w:pPr>
        <w:pStyle w:val="5"/>
        <w:ind w:firstLine="640"/>
        <w:rPr>
          <w:rFonts w:hint="default" w:ascii="Times New Roman" w:hAnsi="Times New Roman" w:cs="Times New Roman"/>
          <w:color w:val="FF0000"/>
        </w:rPr>
      </w:pPr>
      <w:bookmarkStart w:id="45" w:name="_Toc202796933"/>
      <w:bookmarkStart w:id="46" w:name="_Toc169702772"/>
      <w:r>
        <w:rPr>
          <w:rFonts w:hint="default" w:ascii="Times New Roman" w:hAnsi="Times New Roman" w:cs="Times New Roman"/>
          <w:color w:val="000000"/>
        </w:rPr>
        <w:t>（三）盈利能力分析</w:t>
      </w:r>
      <w:bookmarkEnd w:id="45"/>
      <w:bookmarkEnd w:id="46"/>
    </w:p>
    <w:tbl>
      <w:tblPr>
        <w:tblStyle w:val="7"/>
        <w:tblW w:w="90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252"/>
        <w:gridCol w:w="1252"/>
        <w:gridCol w:w="1252"/>
        <w:gridCol w:w="3243"/>
      </w:tblGrid>
      <w:tr w14:paraId="56C7BE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56" w:type="dxa"/>
            <w:shd w:val="clear" w:color="auto" w:fill="auto"/>
            <w:vAlign w:val="center"/>
          </w:tcPr>
          <w:p w14:paraId="332D3979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项目</w:t>
            </w:r>
          </w:p>
        </w:tc>
        <w:tc>
          <w:tcPr>
            <w:tcW w:w="1252" w:type="dxa"/>
            <w:vAlign w:val="center"/>
          </w:tcPr>
          <w:p w14:paraId="671B2F52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2022年12月</w:t>
            </w:r>
          </w:p>
        </w:tc>
        <w:tc>
          <w:tcPr>
            <w:tcW w:w="1252" w:type="dxa"/>
            <w:vAlign w:val="center"/>
          </w:tcPr>
          <w:p w14:paraId="380B5C08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2023年12月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E5373B4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  <w:r>
              <w:rPr>
                <w:color w:val="000000"/>
              </w:rPr>
              <w:t>2024年11月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257865FA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lang w:val="en-US" w:eastAsia="zh-CN"/>
              </w:rPr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</w:r>
          </w:p>
        </w:tc>
      </w:tr>
      <w:tr w14:paraId="71DA7C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56" w:type="dxa"/>
            <w:vAlign w:val="center"/>
          </w:tcPr>
          <w:p w14:paraId="79D33477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毛利率</w:t>
            </w:r>
          </w:p>
        </w:tc>
        <w:tc>
          <w:tcPr>
            <w:tcW w:w="1252" w:type="dxa"/>
            <w:vAlign w:val="center"/>
          </w:tcPr>
          <w:p w14:paraId="343942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23.18%</w:t>
            </w:r>
          </w:p>
        </w:tc>
        <w:tc>
          <w:tcPr>
            <w:tcW w:w="1252" w:type="dxa"/>
            <w:vAlign w:val="center"/>
          </w:tcPr>
          <w:p w14:paraId="11DF56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22.40%</w:t>
            </w:r>
          </w:p>
        </w:tc>
        <w:tc>
          <w:tcPr>
            <w:tcW w:w="1252" w:type="dxa"/>
            <w:vAlign w:val="center"/>
          </w:tcPr>
          <w:p w14:paraId="4CC6F5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22.82%</w:t>
            </w:r>
          </w:p>
        </w:tc>
        <w:tc>
          <w:tcPr>
            <w:tcW w:w="3243" w:type="dxa"/>
            <w:vAlign w:val="center"/>
          </w:tcPr>
          <w:p w14:paraId="2FDFEC45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18FE26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56" w:type="dxa"/>
            <w:vAlign w:val="center"/>
          </w:tcPr>
          <w:p w14:paraId="12217741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销售利润率</w:t>
            </w:r>
          </w:p>
        </w:tc>
        <w:tc>
          <w:tcPr>
            <w:tcW w:w="1252" w:type="dxa"/>
            <w:vAlign w:val="center"/>
          </w:tcPr>
          <w:p w14:paraId="6AD7BD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2.71%</w:t>
            </w:r>
          </w:p>
        </w:tc>
        <w:tc>
          <w:tcPr>
            <w:tcW w:w="1252" w:type="dxa"/>
            <w:vAlign w:val="center"/>
          </w:tcPr>
          <w:p w14:paraId="24ED93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2.91%</w:t>
            </w:r>
          </w:p>
        </w:tc>
        <w:tc>
          <w:tcPr>
            <w:tcW w:w="1252" w:type="dxa"/>
            <w:vAlign w:val="center"/>
          </w:tcPr>
          <w:p w14:paraId="10E80E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3.12%</w:t>
            </w:r>
          </w:p>
        </w:tc>
        <w:tc>
          <w:tcPr>
            <w:tcW w:w="3243" w:type="dxa"/>
            <w:vAlign w:val="center"/>
          </w:tcPr>
          <w:p w14:paraId="312AD726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  <w:tr w14:paraId="484D6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56" w:type="dxa"/>
            <w:vAlign w:val="center"/>
          </w:tcPr>
          <w:p w14:paraId="6F2EA45F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r>
            <w:r>
              <w:rPr>
                <w:color w:val="000000"/>
              </w:rPr>
              <w:t>净资产收益率</w:t>
            </w:r>
          </w:p>
        </w:tc>
        <w:tc>
          <w:tcPr>
            <w:tcW w:w="1252" w:type="dxa"/>
            <w:vAlign w:val="center"/>
          </w:tcPr>
          <w:p w14:paraId="670356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22.88%</w:t>
            </w:r>
          </w:p>
        </w:tc>
        <w:tc>
          <w:tcPr>
            <w:tcW w:w="1252" w:type="dxa"/>
            <w:vAlign w:val="center"/>
          </w:tcPr>
          <w:p w14:paraId="7F62C3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21.21%</w:t>
            </w:r>
          </w:p>
        </w:tc>
        <w:tc>
          <w:tcPr>
            <w:tcW w:w="1252" w:type="dxa"/>
            <w:vAlign w:val="center"/>
          </w:tcPr>
          <w:p w14:paraId="5A6CFD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r>
            <w:r>
              <w:rPr>
                <w:color w:val="000000"/>
              </w:rPr>
              <w:t>18.05%</w:t>
            </w:r>
          </w:p>
        </w:tc>
        <w:tc>
          <w:tcPr>
            <w:tcW w:w="3243" w:type="dxa"/>
            <w:vAlign w:val="center"/>
          </w:tcPr>
          <w:p w14:paraId="2FFC087F">
            <w:pPr>
              <w:pStyle w:val="9"/>
              <w:widowControl/>
              <w:snapToGrid w:val="0"/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方正仿宋_GBK" w:cs="Times New Roman"/>
                <w:color w:val="FF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lang w:val="en-US" w:eastAsia="zh-CN"/>
              </w:rPr>
            </w:r>
          </w:p>
        </w:tc>
      </w:tr>
    </w:tbl>
    <w:p w14:paraId="78D1E26B">
      <w:pPr>
        <w:rPr>
          <w:rFonts w:hint="default" w:ascii="Times New Roman" w:hAnsi="Times New Roman" w:cs="Times New Roman"/>
          <w:color w:val="FF0000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2022年12月、2023年12月、2024年11月毛利率分别为23.18%、22.40%、22.82%；销售利润率分别为2.71%、2.91%、3.12%。毛利率在2023年小幅回落后有所回升，销售利润率稳步提高，盈利能力呈改善趋势。</w:t>
      </w:r>
    </w:p>
    <w:p w14:paraId="368D37F2">
      <w:pPr>
        <w:rPr>
          <w:rFonts w:hint="default" w:ascii="Times New Roman" w:hAnsi="Times New Roman" w:eastAsia="仿宋_GB2312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</w:r>
      <w:r>
        <w:rPr>
          <w:color w:val="000000"/>
        </w:rPr>
      </w:r>
      <w:r>
        <w:rPr>
          <w:color w:val="000000"/>
        </w:rPr>
        <w:t>2022年12月、2023年12月、2024年11月净资产收益率分别为22.88%、21.21%、18.05%，虽然有所下降，但仍保持在较高水平，股东回报能力优秀。收益率下降主要因为所有者权益较2023年末增长22.02%，增幅显著高于同期净利润3.83%的增幅。</w:t>
      </w:r>
    </w:p>
    <w:p w14:paraId="2AF32739">
      <w:pPr>
        <w:pStyle w:val="6"/>
        <w:ind w:left="1280" w:hanging="640"/>
        <w:rPr>
          <w:rFonts w:hint="default" w:ascii="Times New Roman" w:hAnsi="Times New Roman" w:eastAsia="方正楷体_GBK" w:cs="Times New Roman"/>
          <w:color w:val="FF0000"/>
          <w:szCs w:val="32"/>
        </w:rPr>
        <w:sectPr>
          <w:pgSz w:w="11906" w:h="16838"/>
          <w:pgMar w:top="2098" w:right="1531" w:bottom="1984" w:left="1531" w:header="851" w:footer="992" w:gutter="0"/>
          <w:pgNumType w:fmt="numberInDash"/>
          <w:cols w:space="0" w:num="1"/>
          <w:docGrid w:type="lines" w:linePitch="312" w:charSpace="0"/>
        </w:sectPr>
      </w:pPr>
    </w:p>
    <w:p w14:paraId="42F620CE">
      <w:bookmarkStart w:id="47" w:name="_GoBack"/>
      <w:bookmarkEnd w:id="4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B218D"/>
    <w:rsid w:val="22E3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0" w:after="350"/>
    </w:pPr>
    <w:rPr>
      <w:rFonts w:ascii="Calibri" w:hAnsi="Calibri" w:eastAsia="方正小标宋简体"/>
      <w:b w:val="0"/>
      <w:color w:val="000000" w:themeColor="text1"/>
      <w:kern w:val="44"/>
      <w:sz w:val="44"/>
      <w:lang w:val="zh-CN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qFormat/>
    <w:uiPriority w:val="0"/>
    <w:pPr>
      <w:spacing w:before="0" w:after="0"/>
      <w:jc w:val="left"/>
      <w:outlineLvl w:val="1"/>
    </w:pPr>
    <w:rPr>
      <w:rFonts w:ascii="Calibri" w:hAnsi="Calibri" w:eastAsia="方正黑体_GBK" w:cs="方正黑体_GBK"/>
      <w:kern w:val="0"/>
      <w:lang w:val="zh-CN"/>
    </w:rPr>
  </w:style>
  <w:style w:type="paragraph" w:styleId="5">
    <w:name w:val="heading 3"/>
    <w:basedOn w:val="3"/>
    <w:next w:val="1"/>
    <w:unhideWhenUsed/>
    <w:qFormat/>
    <w:uiPriority w:val="9"/>
    <w:pPr>
      <w:spacing w:before="0" w:after="0"/>
      <w:jc w:val="left"/>
      <w:outlineLvl w:val="2"/>
    </w:pPr>
    <w:rPr>
      <w:rFonts w:ascii="Calibri" w:hAnsi="Calibri" w:eastAsia="方正楷体_GBK"/>
      <w:b w:val="0"/>
      <w:kern w:val="0"/>
      <w:lang w:val="de-DE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6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customStyle="1" w:styleId="9">
    <w:name w:val="表格文字"/>
    <w:basedOn w:val="1"/>
    <w:qFormat/>
    <w:uiPriority w:val="99"/>
    <w:pPr>
      <w:spacing w:line="240" w:lineRule="atLeast"/>
      <w:ind w:firstLine="0" w:firstLineChars="0"/>
      <w:jc w:val="center"/>
    </w:pPr>
    <w:rPr>
      <w:rFonts w:hint="eastAsia" w:ascii="仿宋_GB2312" w:hAnsi="仿宋_GB2312" w:cs="仿宋_GB2312"/>
      <w:color w:val="000000" w:themeColor="text1"/>
      <w:spacing w:val="2"/>
      <w:kern w:val="0"/>
      <w:sz w:val="21"/>
      <w:szCs w:val="21"/>
      <w14:textFill>
        <w14:solidFill>
          <w14:schemeClr w14:val="tx1"/>
        </w14:solidFill>
      </w14:textFill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1230</Words>
  <Characters>1912</Characters>
  <Lines>0</Lines>
  <Paragraphs>0</Paragraphs>
  <TotalTime>0</TotalTime>
  <ScaleCrop>false</ScaleCrop>
  <LinksUpToDate>false</LinksUpToDate>
  <CharactersWithSpaces>1913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2026-06-25T04:28:00Z</dcterms:created>
  <dc:creator>LENOVO</dc:creator>
  <cp:lastModifiedBy>培培</cp:lastModifiedBy>
  <dcterms:modified xsi:type="dcterms:W3CDTF">2026-06-25T05:19:46Z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eyJoZGlkIjoiYjc1ZjhlMDJmYzE5NmU2YmEyYzI4YzdhYjg1NDgyODEiLCJ1c2VySWQiOiIzMjcwNTEyOTIifQ==</vt:lpwstr>
  </property>
  <property fmtid="{D5CDD505-2E9C-101B-9397-08002B2CF9AE}" pid="4" name="ICV">
    <vt:lpwstr>0133F45261F24420B4BF78B47491E831_12</vt:lpwstr>
  </property>
</Properties>
</file>